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7397"/>
      </w:tblGrid>
      <w:tr w:rsidR="00D206CA" w14:paraId="7B535B0C" w14:textId="77777777" w:rsidTr="00422255">
        <w:trPr>
          <w:trHeight w:val="353"/>
        </w:trPr>
        <w:tc>
          <w:tcPr>
            <w:tcW w:w="1925" w:type="dxa"/>
            <w:vMerge w:val="restart"/>
          </w:tcPr>
          <w:p w14:paraId="02857231" w14:textId="578DC941" w:rsidR="00D206CA" w:rsidRDefault="00D206CA">
            <w:pPr>
              <w:rPr>
                <w:lang w:val="en-US"/>
              </w:rPr>
            </w:pPr>
            <w:r w:rsidRPr="00414772">
              <w:rPr>
                <w:noProof/>
                <w:lang w:val="fr-BE" w:eastAsia="fr-BE"/>
              </w:rPr>
              <w:drawing>
                <wp:inline distT="0" distB="0" distL="0" distR="0" wp14:anchorId="756E9BED" wp14:editId="2C580CEA">
                  <wp:extent cx="878400" cy="900000"/>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78400" cy="900000"/>
                          </a:xfrm>
                          <a:prstGeom prst="rect">
                            <a:avLst/>
                          </a:prstGeom>
                        </pic:spPr>
                      </pic:pic>
                    </a:graphicData>
                  </a:graphic>
                </wp:inline>
              </w:drawing>
            </w:r>
          </w:p>
        </w:tc>
        <w:tc>
          <w:tcPr>
            <w:tcW w:w="7397" w:type="dxa"/>
            <w:tcBorders>
              <w:bottom w:val="single" w:sz="8" w:space="0" w:color="325E83"/>
            </w:tcBorders>
          </w:tcPr>
          <w:p w14:paraId="48F44712" w14:textId="77777777" w:rsidR="00D206CA" w:rsidRDefault="00D206CA">
            <w:pPr>
              <w:rPr>
                <w:sz w:val="36"/>
                <w:szCs w:val="36"/>
                <w:lang w:val="en-US"/>
              </w:rPr>
            </w:pPr>
          </w:p>
          <w:p w14:paraId="0CFFBA90" w14:textId="77777777" w:rsidR="00D206CA" w:rsidRDefault="00D206CA" w:rsidP="004F5F7E">
            <w:pPr>
              <w:ind w:right="32"/>
              <w:rPr>
                <w:b/>
                <w:color w:val="325E83"/>
                <w:sz w:val="36"/>
                <w:szCs w:val="36"/>
                <w:lang w:val="en-US"/>
              </w:rPr>
            </w:pPr>
            <w:r w:rsidRPr="00394370">
              <w:rPr>
                <w:b/>
                <w:color w:val="325E83"/>
                <w:sz w:val="36"/>
                <w:szCs w:val="36"/>
                <w:lang w:val="en-US"/>
              </w:rPr>
              <w:t>Exercise Biochemistry Review</w:t>
            </w:r>
          </w:p>
          <w:p w14:paraId="547A8529" w14:textId="6CBC4068" w:rsidR="00E2479F" w:rsidRPr="00D43D18" w:rsidRDefault="00E2479F" w:rsidP="004F5F7E">
            <w:pPr>
              <w:ind w:right="32"/>
              <w:rPr>
                <w:b/>
                <w:sz w:val="16"/>
                <w:szCs w:val="16"/>
                <w:lang w:val="en-US"/>
              </w:rPr>
            </w:pPr>
          </w:p>
        </w:tc>
      </w:tr>
      <w:tr w:rsidR="00D206CA" w14:paraId="2C45CF94" w14:textId="77777777" w:rsidTr="00422255">
        <w:trPr>
          <w:trHeight w:val="352"/>
        </w:trPr>
        <w:tc>
          <w:tcPr>
            <w:tcW w:w="1925" w:type="dxa"/>
            <w:vMerge/>
          </w:tcPr>
          <w:p w14:paraId="176A4C39" w14:textId="77777777" w:rsidR="00D206CA" w:rsidRPr="00414772" w:rsidRDefault="00D206CA">
            <w:pPr>
              <w:rPr>
                <w:noProof/>
                <w:lang w:val="en-US"/>
              </w:rPr>
            </w:pPr>
          </w:p>
        </w:tc>
        <w:tc>
          <w:tcPr>
            <w:tcW w:w="7397" w:type="dxa"/>
            <w:tcBorders>
              <w:top w:val="single" w:sz="8" w:space="0" w:color="325E83"/>
            </w:tcBorders>
          </w:tcPr>
          <w:p w14:paraId="63FAEC3D" w14:textId="77777777" w:rsidR="00D206CA" w:rsidRDefault="00D206CA">
            <w:pPr>
              <w:rPr>
                <w:sz w:val="36"/>
                <w:szCs w:val="36"/>
                <w:lang w:val="en-US"/>
              </w:rPr>
            </w:pPr>
          </w:p>
        </w:tc>
      </w:tr>
    </w:tbl>
    <w:p w14:paraId="14D4E5B2" w14:textId="69BF0177" w:rsidR="00414772" w:rsidRPr="00394370" w:rsidRDefault="00C0756E">
      <w:pPr>
        <w:rPr>
          <w:b/>
          <w:color w:val="325E83"/>
          <w:lang w:val="en-US"/>
        </w:rPr>
      </w:pPr>
      <w:r w:rsidRPr="00394370">
        <w:rPr>
          <w:b/>
          <w:color w:val="325E83"/>
          <w:lang w:val="en-US"/>
        </w:rPr>
        <w:t>Proceeding</w:t>
      </w:r>
      <w:r w:rsidR="002E06B9" w:rsidRPr="00394370">
        <w:rPr>
          <w:b/>
          <w:color w:val="325E83"/>
          <w:lang w:val="en-US"/>
        </w:rPr>
        <w:t>s of IBEC 2018, Bei</w:t>
      </w:r>
      <w:r w:rsidR="00A5627E">
        <w:rPr>
          <w:b/>
          <w:color w:val="325E83"/>
          <w:lang w:val="en-US"/>
        </w:rPr>
        <w:t>jing, China, October 23-25</w:t>
      </w:r>
    </w:p>
    <w:p w14:paraId="1A878272" w14:textId="5DD2D043" w:rsidR="005329F7" w:rsidRDefault="000A45A4">
      <w:pPr>
        <w:rPr>
          <w:b/>
          <w:color w:val="325E83"/>
          <w:sz w:val="20"/>
          <w:szCs w:val="20"/>
          <w:lang w:val="en-US"/>
        </w:rPr>
      </w:pPr>
      <w:r>
        <w:rPr>
          <w:b/>
          <w:color w:val="325E83"/>
          <w:sz w:val="20"/>
          <w:szCs w:val="20"/>
          <w:lang w:val="en-US"/>
        </w:rPr>
        <w:t>PO-004</w:t>
      </w:r>
    </w:p>
    <w:p w14:paraId="289966A3" w14:textId="7C3D79D9" w:rsidR="00543900" w:rsidRDefault="00543900">
      <w:pPr>
        <w:rPr>
          <w:b/>
          <w:color w:val="325E83"/>
          <w:sz w:val="20"/>
          <w:szCs w:val="20"/>
          <w:lang w:val="en-US"/>
        </w:rPr>
      </w:pPr>
    </w:p>
    <w:p w14:paraId="54E6298E" w14:textId="77777777" w:rsidR="000A45A4" w:rsidRPr="00EA6C48" w:rsidRDefault="000A45A4" w:rsidP="000A45A4">
      <w:pPr>
        <w:jc w:val="center"/>
        <w:rPr>
          <w:rFonts w:eastAsia="SimSun"/>
        </w:rPr>
      </w:pPr>
      <w:r w:rsidRPr="00EA6C48">
        <w:rPr>
          <w:rFonts w:eastAsia="SimSun" w:cs="SimHei"/>
          <w:b/>
          <w:sz w:val="32"/>
        </w:rPr>
        <w:t>The influence of lifestyle on the quality of life of breast cancer patients</w:t>
      </w:r>
    </w:p>
    <w:p w14:paraId="1CD51E8E" w14:textId="77777777" w:rsidR="000A45A4" w:rsidRPr="00EA6C48" w:rsidRDefault="000A45A4" w:rsidP="000A45A4">
      <w:pPr>
        <w:jc w:val="center"/>
        <w:rPr>
          <w:rFonts w:eastAsia="SimSun"/>
        </w:rPr>
      </w:pPr>
    </w:p>
    <w:p w14:paraId="3701EBA1" w14:textId="77777777" w:rsidR="000A45A4" w:rsidRPr="00EA6C48" w:rsidRDefault="000A45A4" w:rsidP="000A45A4">
      <w:pPr>
        <w:jc w:val="center"/>
        <w:rPr>
          <w:rFonts w:eastAsia="SimSun" w:cs="SimSun"/>
          <w:sz w:val="18"/>
        </w:rPr>
      </w:pPr>
      <w:r w:rsidRPr="00EA6C48">
        <w:rPr>
          <w:rFonts w:eastAsia="SimSun" w:cs="SimSun"/>
          <w:sz w:val="18"/>
          <w:lang w:val="fr-BE" w:eastAsia="fr-BE"/>
        </w:rPr>
        <w:t>Heling Dong</w:t>
      </w:r>
      <w:r w:rsidRPr="00EA6C48">
        <w:rPr>
          <w:rFonts w:eastAsia="SimSun" w:cs="SimSun"/>
          <w:sz w:val="18"/>
          <w:vertAlign w:val="superscript"/>
          <w:lang w:val="fr-BE" w:eastAsia="fr-BE"/>
        </w:rPr>
        <w:t>1</w:t>
      </w:r>
      <w:r w:rsidRPr="00EA6C48">
        <w:rPr>
          <w:rFonts w:eastAsia="SimSun" w:cs="SimSun"/>
          <w:sz w:val="18"/>
          <w:lang w:val="fr-BE" w:eastAsia="fr-BE"/>
        </w:rPr>
        <w:t>,Zhenxiang Tian</w:t>
      </w:r>
      <w:r w:rsidRPr="00EA6C48">
        <w:rPr>
          <w:rFonts w:eastAsia="SimSun" w:cs="SimSun"/>
          <w:sz w:val="18"/>
          <w:vertAlign w:val="superscript"/>
          <w:lang w:val="fr-BE" w:eastAsia="fr-BE"/>
        </w:rPr>
        <w:t>2</w:t>
      </w:r>
    </w:p>
    <w:p w14:paraId="5FB9423F" w14:textId="77777777" w:rsidR="000A45A4" w:rsidRPr="00EA6C48" w:rsidRDefault="000A45A4" w:rsidP="000A45A4">
      <w:pPr>
        <w:jc w:val="center"/>
        <w:rPr>
          <w:rFonts w:eastAsia="SimSun" w:cs="SimSun"/>
          <w:sz w:val="18"/>
          <w:lang w:val="fr-BE" w:eastAsia="fr-BE"/>
        </w:rPr>
      </w:pPr>
      <w:r w:rsidRPr="00EA6C48">
        <w:rPr>
          <w:rFonts w:eastAsia="SimSun" w:cs="SimSun"/>
          <w:sz w:val="18"/>
          <w:lang w:val="fr-BE" w:eastAsia="fr-BE"/>
        </w:rPr>
        <w:t>1.Jinan University</w:t>
      </w:r>
    </w:p>
    <w:p w14:paraId="612F6505" w14:textId="77777777" w:rsidR="000A45A4" w:rsidRPr="00EA6C48" w:rsidRDefault="000A45A4" w:rsidP="000A45A4">
      <w:pPr>
        <w:jc w:val="center"/>
        <w:rPr>
          <w:rFonts w:eastAsia="SimSun" w:cs="SimSun"/>
          <w:sz w:val="18"/>
        </w:rPr>
      </w:pPr>
      <w:r w:rsidRPr="00EA6C48">
        <w:rPr>
          <w:rFonts w:eastAsia="SimSun" w:cs="SimSun"/>
          <w:sz w:val="18"/>
          <w:lang w:val="fr-BE" w:eastAsia="fr-BE"/>
        </w:rPr>
        <w:t>2.Zaozhuang College</w:t>
      </w:r>
    </w:p>
    <w:p w14:paraId="72434D80" w14:textId="77777777" w:rsidR="000A45A4" w:rsidRPr="00EA6C48" w:rsidRDefault="000A45A4" w:rsidP="000A45A4">
      <w:pPr>
        <w:rPr>
          <w:rFonts w:eastAsia="SimSun" w:cs="SimSun"/>
          <w:sz w:val="21"/>
        </w:rPr>
      </w:pPr>
    </w:p>
    <w:p w14:paraId="1B011BCB" w14:textId="77777777" w:rsidR="000A45A4" w:rsidRPr="00EA6C48" w:rsidRDefault="000A45A4" w:rsidP="000A45A4">
      <w:pPr>
        <w:rPr>
          <w:rFonts w:eastAsia="SimSun" w:cs="SimSun"/>
          <w:sz w:val="21"/>
        </w:rPr>
      </w:pPr>
      <w:r w:rsidRPr="00EA6C48">
        <w:rPr>
          <w:rFonts w:eastAsia="SimSun" w:cs="SimSun"/>
          <w:b/>
          <w:bCs/>
          <w:sz w:val="21"/>
          <w:lang w:val="fr-BE" w:eastAsia="fr-BE"/>
        </w:rPr>
        <w:t xml:space="preserve">Objective </w:t>
      </w:r>
      <w:r w:rsidRPr="00EA6C48">
        <w:rPr>
          <w:rFonts w:eastAsia="SimSun" w:cs="SimSun"/>
          <w:sz w:val="21"/>
          <w:lang w:val="fr-BE" w:eastAsia="fr-BE"/>
        </w:rPr>
        <w:t> To explore the effects of healthy lifestyle such as exercise and diet on health-related quality of life in patients with breast cancer. </w:t>
      </w:r>
    </w:p>
    <w:p w14:paraId="1493EAA1" w14:textId="77777777" w:rsidR="000A45A4" w:rsidRPr="00EA6C48" w:rsidRDefault="000A45A4" w:rsidP="000A45A4">
      <w:pPr>
        <w:rPr>
          <w:rFonts w:eastAsia="SimSun" w:cs="SimSun"/>
          <w:sz w:val="21"/>
          <w:lang w:val="fr-BE" w:eastAsia="fr-BE"/>
        </w:rPr>
      </w:pPr>
      <w:r w:rsidRPr="00EA6C48">
        <w:rPr>
          <w:rFonts w:eastAsia="SimSun" w:cs="SimSun"/>
          <w:b/>
          <w:bCs/>
          <w:sz w:val="21"/>
          <w:lang w:val="fr-BE" w:eastAsia="fr-BE"/>
        </w:rPr>
        <w:t xml:space="preserve">Methods </w:t>
      </w:r>
      <w:r w:rsidRPr="00EA6C48">
        <w:rPr>
          <w:rFonts w:eastAsia="SimSun" w:cs="SimSun"/>
          <w:sz w:val="21"/>
          <w:lang w:val="fr-BE" w:eastAsia="fr-BE"/>
        </w:rPr>
        <w:t>427 breast cancer patients who met the inclusion criteria were investigated and analyzed. All the patients were collected in</w:t>
      </w:r>
      <w:bookmarkStart w:id="0" w:name="_GoBack"/>
      <w:bookmarkEnd w:id="0"/>
      <w:r w:rsidRPr="00EA6C48">
        <w:rPr>
          <w:rFonts w:eastAsia="SimSun" w:cs="SimSun"/>
          <w:sz w:val="21"/>
          <w:lang w:val="fr-BE" w:eastAsia="fr-BE"/>
        </w:rPr>
        <w:t xml:space="preserve"> the department of oncology of a third-class first-class hospital from January 1, 2015 to June 30, 2016.</w:t>
      </w:r>
    </w:p>
    <w:p w14:paraId="099CD897" w14:textId="77777777" w:rsidR="000A45A4" w:rsidRPr="00EA6C48" w:rsidRDefault="000A45A4" w:rsidP="000A45A4">
      <w:pPr>
        <w:rPr>
          <w:rFonts w:eastAsia="SimSun" w:cs="SimSun"/>
          <w:sz w:val="21"/>
        </w:rPr>
      </w:pPr>
      <w:r w:rsidRPr="00EA6C48">
        <w:rPr>
          <w:rFonts w:eastAsia="SimSun" w:cs="SimSun"/>
          <w:sz w:val="21"/>
          <w:lang w:val="fr-BE" w:eastAsia="fr-BE"/>
        </w:rPr>
        <w:t>The cancer treatment quality of life core scale (EORTC QLQ-C30) and cancer treatment function evaluation system scale (FACT-B) were used to investigate and collect the questionnaire for statistical analysis of all data.</w:t>
      </w:r>
    </w:p>
    <w:p w14:paraId="612DD1E0" w14:textId="77777777" w:rsidR="000A45A4" w:rsidRPr="00EA6C48" w:rsidRDefault="000A45A4" w:rsidP="000A45A4">
      <w:pPr>
        <w:rPr>
          <w:rFonts w:eastAsia="SimSun" w:cs="SimSun"/>
          <w:sz w:val="21"/>
        </w:rPr>
      </w:pPr>
      <w:r w:rsidRPr="00EA6C48">
        <w:rPr>
          <w:rFonts w:eastAsia="SimSun" w:cs="SimSun"/>
          <w:b/>
          <w:bCs/>
          <w:sz w:val="21"/>
          <w:lang w:val="fr-BE" w:eastAsia="fr-BE"/>
        </w:rPr>
        <w:t xml:space="preserve">Results </w:t>
      </w:r>
      <w:r w:rsidRPr="00EA6C48">
        <w:rPr>
          <w:rFonts w:eastAsia="SimSun" w:cs="SimSun"/>
          <w:sz w:val="21"/>
          <w:lang w:val="fr-BE" w:eastAsia="fr-BE"/>
        </w:rPr>
        <w:t>The scores of health-related quality of life were higher in regular exercise than those in non-regular exercise. Patients who ate more than 300g of vegetables per day had higher health-related quality of life scores. The scores of health-related quality of life were higher in patients who ate more than 200g fruit per day (p&lt;0.05). Patients with two healthy lifestyles had higher health-related quality of life scores than patients with one healthy lifestyle (p&lt;0.05).</w:t>
      </w:r>
    </w:p>
    <w:p w14:paraId="78BD9994" w14:textId="35D960FB" w:rsidR="000C6B93" w:rsidRPr="00EA6C48" w:rsidRDefault="000A45A4" w:rsidP="000A45A4">
      <w:pPr>
        <w:rPr>
          <w:rFonts w:eastAsia="SimSun" w:cs="SimSun"/>
          <w:sz w:val="21"/>
        </w:rPr>
      </w:pPr>
      <w:r w:rsidRPr="00EA6C48">
        <w:rPr>
          <w:rFonts w:eastAsia="SimSun" w:cs="SimSun"/>
          <w:b/>
          <w:bCs/>
          <w:sz w:val="21"/>
          <w:lang w:val="fr-BE" w:eastAsia="fr-BE"/>
        </w:rPr>
        <w:t xml:space="preserve">Conclusions </w:t>
      </w:r>
      <w:r w:rsidRPr="00EA6C48">
        <w:rPr>
          <w:rFonts w:eastAsia="SimSun" w:cs="SimSun"/>
          <w:sz w:val="21"/>
          <w:lang w:val="fr-BE" w:eastAsia="fr-BE"/>
        </w:rPr>
        <w:t>Multi-frequency exercise and adequate intake of vegetables and fruits play a positive role in the health-related quality of life of breast cancer patients. Breast cancer patients with two healthy lifestyles had significantly better health-related quality of life than patients with one healthy lifestyle. Healthy lifestyle with adequate exercise and adequate intake of fruits and vegetables should be paid more attention to in improving the health-related quality of life of breast cancer patients.</w:t>
      </w:r>
    </w:p>
    <w:sectPr w:rsidR="000C6B93" w:rsidRPr="00EA6C48" w:rsidSect="001347BD">
      <w:footerReference w:type="even" r:id="rId8"/>
      <w:footerReference w:type="default" r:id="rId9"/>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01806" w14:textId="77777777" w:rsidR="00732FA3" w:rsidRDefault="00732FA3" w:rsidP="008B4801">
      <w:r>
        <w:separator/>
      </w:r>
    </w:p>
  </w:endnote>
  <w:endnote w:type="continuationSeparator" w:id="0">
    <w:p w14:paraId="1E764BB0" w14:textId="77777777" w:rsidR="00732FA3" w:rsidRDefault="00732FA3" w:rsidP="008B4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notTrueType/>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odepage"/>
      </w:rPr>
      <w:id w:val="-1197919720"/>
      <w:docPartObj>
        <w:docPartGallery w:val="Page Numbers (Bottom of Page)"/>
        <w:docPartUnique/>
      </w:docPartObj>
    </w:sdtPr>
    <w:sdtEndPr>
      <w:rPr>
        <w:rStyle w:val="Numrodepage"/>
      </w:rPr>
    </w:sdtEndPr>
    <w:sdtContent>
      <w:p w14:paraId="56E8776D" w14:textId="6F42FA29" w:rsidR="001347BD" w:rsidRDefault="001347BD" w:rsidP="00DD340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F67EBD9" w14:textId="77777777" w:rsidR="008B4801" w:rsidRDefault="008B4801" w:rsidP="001347BD">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odepage"/>
      </w:rPr>
      <w:id w:val="-457948679"/>
      <w:docPartObj>
        <w:docPartGallery w:val="Page Numbers (Bottom of Page)"/>
        <w:docPartUnique/>
      </w:docPartObj>
    </w:sdtPr>
    <w:sdtEndPr>
      <w:rPr>
        <w:rStyle w:val="Numrodepage"/>
      </w:rPr>
    </w:sdtEndPr>
    <w:sdtContent>
      <w:p w14:paraId="071B0FF6" w14:textId="0CBBE9FB" w:rsidR="001347BD" w:rsidRPr="00D4443E" w:rsidRDefault="001347BD" w:rsidP="00DD3404">
        <w:pPr>
          <w:pStyle w:val="Pieddepage"/>
          <w:framePr w:wrap="none" w:vAnchor="text" w:hAnchor="margin" w:xAlign="right" w:y="1"/>
          <w:rPr>
            <w:rStyle w:val="Numrodepage"/>
            <w:lang w:val="en-US"/>
          </w:rPr>
        </w:pPr>
        <w:r>
          <w:rPr>
            <w:rStyle w:val="Numrodepage"/>
          </w:rPr>
          <w:fldChar w:fldCharType="begin"/>
        </w:r>
        <w:r w:rsidRPr="00D4443E">
          <w:rPr>
            <w:rStyle w:val="Numrodepage"/>
            <w:lang w:val="en-US"/>
          </w:rPr>
          <w:instrText xml:space="preserve"> PAGE </w:instrText>
        </w:r>
        <w:r>
          <w:rPr>
            <w:rStyle w:val="Numrodepage"/>
          </w:rPr>
          <w:fldChar w:fldCharType="separate"/>
        </w:r>
        <w:r w:rsidRPr="00D4443E">
          <w:rPr>
            <w:rStyle w:val="Numrodepage"/>
            <w:noProof/>
            <w:lang w:val="en-US"/>
          </w:rPr>
          <w:t>2</w:t>
        </w:r>
        <w:r>
          <w:rPr>
            <w:rStyle w:val="Numrodepage"/>
          </w:rPr>
          <w:fldChar w:fldCharType="end"/>
        </w:r>
      </w:p>
    </w:sdtContent>
  </w:sdt>
  <w:p w14:paraId="0C86E2D7" w14:textId="5FD4CE34" w:rsidR="008B4801" w:rsidRPr="001347BD" w:rsidRDefault="001347BD" w:rsidP="001347BD">
    <w:pPr>
      <w:rPr>
        <w:b/>
        <w:color w:val="325E83"/>
        <w:lang w:val="en-US"/>
      </w:rPr>
    </w:pPr>
    <w:r w:rsidRPr="00394370">
      <w:rPr>
        <w:b/>
        <w:color w:val="325E83"/>
        <w:lang w:val="en-US"/>
      </w:rPr>
      <w:t>Proceedings of IBEC 2018, Bei</w:t>
    </w:r>
    <w:r>
      <w:rPr>
        <w:b/>
        <w:color w:val="325E83"/>
        <w:lang w:val="en-US"/>
      </w:rPr>
      <w:t>jing, China, October 23-25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2E287" w14:textId="77777777" w:rsidR="00732FA3" w:rsidRDefault="00732FA3" w:rsidP="008B4801">
      <w:r>
        <w:separator/>
      </w:r>
    </w:p>
  </w:footnote>
  <w:footnote w:type="continuationSeparator" w:id="0">
    <w:p w14:paraId="7EB20EB2" w14:textId="77777777" w:rsidR="00732FA3" w:rsidRDefault="00732FA3" w:rsidP="008B48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BA7"/>
    <w:rsid w:val="0000056C"/>
    <w:rsid w:val="000143E1"/>
    <w:rsid w:val="00015B27"/>
    <w:rsid w:val="000360BC"/>
    <w:rsid w:val="000838C1"/>
    <w:rsid w:val="00083F3B"/>
    <w:rsid w:val="000A45A4"/>
    <w:rsid w:val="000A634F"/>
    <w:rsid w:val="000A6610"/>
    <w:rsid w:val="000A700A"/>
    <w:rsid w:val="000C54E2"/>
    <w:rsid w:val="000C6B93"/>
    <w:rsid w:val="001347BD"/>
    <w:rsid w:val="00146734"/>
    <w:rsid w:val="00147445"/>
    <w:rsid w:val="00180C03"/>
    <w:rsid w:val="001B4A5B"/>
    <w:rsid w:val="001C1CD3"/>
    <w:rsid w:val="001C4E35"/>
    <w:rsid w:val="00221F1E"/>
    <w:rsid w:val="00223D16"/>
    <w:rsid w:val="00231530"/>
    <w:rsid w:val="002939F7"/>
    <w:rsid w:val="002C1526"/>
    <w:rsid w:val="002E06B9"/>
    <w:rsid w:val="00394370"/>
    <w:rsid w:val="003B5349"/>
    <w:rsid w:val="003C7FDF"/>
    <w:rsid w:val="003E1F66"/>
    <w:rsid w:val="003E4CD0"/>
    <w:rsid w:val="00402839"/>
    <w:rsid w:val="00414772"/>
    <w:rsid w:val="00422255"/>
    <w:rsid w:val="004E1415"/>
    <w:rsid w:val="004F5F7E"/>
    <w:rsid w:val="00516AB4"/>
    <w:rsid w:val="005329F7"/>
    <w:rsid w:val="00543900"/>
    <w:rsid w:val="005460DC"/>
    <w:rsid w:val="005477DD"/>
    <w:rsid w:val="00573DE7"/>
    <w:rsid w:val="005864AF"/>
    <w:rsid w:val="005A3D4B"/>
    <w:rsid w:val="00613CD4"/>
    <w:rsid w:val="00632C3A"/>
    <w:rsid w:val="00682F82"/>
    <w:rsid w:val="006B4B58"/>
    <w:rsid w:val="006C2820"/>
    <w:rsid w:val="006F032C"/>
    <w:rsid w:val="006F36EC"/>
    <w:rsid w:val="006F7F80"/>
    <w:rsid w:val="00704F80"/>
    <w:rsid w:val="007149E5"/>
    <w:rsid w:val="00732FA3"/>
    <w:rsid w:val="007C2A57"/>
    <w:rsid w:val="007D0955"/>
    <w:rsid w:val="007E1266"/>
    <w:rsid w:val="00837FCA"/>
    <w:rsid w:val="00897C13"/>
    <w:rsid w:val="008A3088"/>
    <w:rsid w:val="008B4801"/>
    <w:rsid w:val="008E1C71"/>
    <w:rsid w:val="008E5EFF"/>
    <w:rsid w:val="008F4FAE"/>
    <w:rsid w:val="00905CE8"/>
    <w:rsid w:val="00907264"/>
    <w:rsid w:val="0098079E"/>
    <w:rsid w:val="0098749A"/>
    <w:rsid w:val="00994674"/>
    <w:rsid w:val="00997355"/>
    <w:rsid w:val="009C2D16"/>
    <w:rsid w:val="00A02B2F"/>
    <w:rsid w:val="00A2200D"/>
    <w:rsid w:val="00A30CE0"/>
    <w:rsid w:val="00A52E6B"/>
    <w:rsid w:val="00A55217"/>
    <w:rsid w:val="00A5627E"/>
    <w:rsid w:val="00A64369"/>
    <w:rsid w:val="00A92613"/>
    <w:rsid w:val="00AD0CCB"/>
    <w:rsid w:val="00AF2B55"/>
    <w:rsid w:val="00B06093"/>
    <w:rsid w:val="00B1088C"/>
    <w:rsid w:val="00B27087"/>
    <w:rsid w:val="00B273D6"/>
    <w:rsid w:val="00B32880"/>
    <w:rsid w:val="00BD7D53"/>
    <w:rsid w:val="00C0756E"/>
    <w:rsid w:val="00C366B0"/>
    <w:rsid w:val="00C375DC"/>
    <w:rsid w:val="00C463EB"/>
    <w:rsid w:val="00C63176"/>
    <w:rsid w:val="00C81E9D"/>
    <w:rsid w:val="00C94AB0"/>
    <w:rsid w:val="00CB6369"/>
    <w:rsid w:val="00CE61C6"/>
    <w:rsid w:val="00D128BE"/>
    <w:rsid w:val="00D206CA"/>
    <w:rsid w:val="00D32FE8"/>
    <w:rsid w:val="00D43D18"/>
    <w:rsid w:val="00D4443E"/>
    <w:rsid w:val="00D937E5"/>
    <w:rsid w:val="00DA728A"/>
    <w:rsid w:val="00DB0465"/>
    <w:rsid w:val="00E04A1D"/>
    <w:rsid w:val="00E17391"/>
    <w:rsid w:val="00E2479F"/>
    <w:rsid w:val="00E263A6"/>
    <w:rsid w:val="00E41BB0"/>
    <w:rsid w:val="00E55BA7"/>
    <w:rsid w:val="00E83F9F"/>
    <w:rsid w:val="00EA6C48"/>
    <w:rsid w:val="00ED3117"/>
    <w:rsid w:val="00ED468B"/>
    <w:rsid w:val="00EE2A8F"/>
    <w:rsid w:val="00F10093"/>
    <w:rsid w:val="00F43F8F"/>
    <w:rsid w:val="00F60EB6"/>
    <w:rsid w:val="00FC20B2"/>
    <w:rsid w:val="00FD2DB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2C372C"/>
  <w14:defaultImageDpi w14:val="300"/>
  <w15:docId w15:val="{71412248-BA95-4FEE-A575-C38CC6365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14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B4801"/>
    <w:pPr>
      <w:tabs>
        <w:tab w:val="center" w:pos="4536"/>
        <w:tab w:val="right" w:pos="9072"/>
      </w:tabs>
    </w:pPr>
  </w:style>
  <w:style w:type="character" w:customStyle="1" w:styleId="En-tteCar">
    <w:name w:val="En-tête Car"/>
    <w:basedOn w:val="Policepardfaut"/>
    <w:link w:val="En-tte"/>
    <w:uiPriority w:val="99"/>
    <w:rsid w:val="008B4801"/>
  </w:style>
  <w:style w:type="paragraph" w:styleId="Pieddepage">
    <w:name w:val="footer"/>
    <w:basedOn w:val="Normal"/>
    <w:link w:val="PieddepageCar"/>
    <w:uiPriority w:val="99"/>
    <w:unhideWhenUsed/>
    <w:rsid w:val="008B4801"/>
    <w:pPr>
      <w:tabs>
        <w:tab w:val="center" w:pos="4536"/>
        <w:tab w:val="right" w:pos="9072"/>
      </w:tabs>
    </w:pPr>
  </w:style>
  <w:style w:type="character" w:customStyle="1" w:styleId="PieddepageCar">
    <w:name w:val="Pied de page Car"/>
    <w:basedOn w:val="Policepardfaut"/>
    <w:link w:val="Pieddepage"/>
    <w:uiPriority w:val="99"/>
    <w:rsid w:val="008B4801"/>
  </w:style>
  <w:style w:type="paragraph" w:styleId="NormalWeb">
    <w:name w:val="Normal (Web)"/>
    <w:basedOn w:val="Normal"/>
    <w:uiPriority w:val="99"/>
    <w:semiHidden/>
    <w:unhideWhenUsed/>
    <w:rsid w:val="00C375DC"/>
    <w:pPr>
      <w:spacing w:before="100" w:beforeAutospacing="1" w:after="100" w:afterAutospacing="1"/>
    </w:pPr>
    <w:rPr>
      <w:rFonts w:ascii="Times New Roman" w:hAnsi="Times New Roman" w:cs="Times New Roman"/>
      <w:lang w:val="fr-BE"/>
    </w:rPr>
  </w:style>
  <w:style w:type="character" w:styleId="Numrodepage">
    <w:name w:val="page number"/>
    <w:basedOn w:val="Policepardfaut"/>
    <w:uiPriority w:val="99"/>
    <w:semiHidden/>
    <w:unhideWhenUsed/>
    <w:rsid w:val="001347BD"/>
  </w:style>
  <w:style w:type="paragraph" w:styleId="Textedebulles">
    <w:name w:val="Balloon Text"/>
    <w:basedOn w:val="Normal"/>
    <w:link w:val="TextedebullesCar"/>
    <w:uiPriority w:val="99"/>
    <w:semiHidden/>
    <w:unhideWhenUsed/>
    <w:rsid w:val="000C6B9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C6B9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75159-3CC4-4664-8332-11C192309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283</Words>
  <Characters>1558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UCL</Company>
  <LinksUpToDate>false</LinksUpToDate>
  <CharactersWithSpaces>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Deldicque</dc:creator>
  <cp:keywords/>
  <dc:description/>
  <cp:lastModifiedBy>Margot Bouillon</cp:lastModifiedBy>
  <cp:revision>4</cp:revision>
  <cp:lastPrinted>2018-10-01T12:13:00Z</cp:lastPrinted>
  <dcterms:created xsi:type="dcterms:W3CDTF">2018-10-01T12:04:00Z</dcterms:created>
  <dcterms:modified xsi:type="dcterms:W3CDTF">2018-10-01T12:13:00Z</dcterms:modified>
</cp:coreProperties>
</file>